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sz w:val="28"/>
          <w:szCs w:val="28"/>
        </w:rPr>
      </w:pPr>
      <w:r>
        <w:rPr>
          <w:rFonts w:hint="eastAsia"/>
          <w:sz w:val="28"/>
          <w:szCs w:val="28"/>
        </w:rPr>
        <w:t>知识产权管理体系与《企业知识产权管理规范》文件对照说明</w:t>
      </w:r>
      <w:r>
        <w:rPr>
          <w:sz w:val="28"/>
          <w:szCs w:val="28"/>
        </w:rPr>
        <w:t>表</w:t>
      </w:r>
    </w:p>
    <w:tbl>
      <w:tblPr>
        <w:tblW w:w="1275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2127"/>
        <w:gridCol w:w="2835"/>
        <w:gridCol w:w="1417"/>
        <w:gridCol w:w="1418"/>
        <w:gridCol w:w="184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bottom w:val="single" w:color="auto" w:sz="4" w:space="0"/>
            </w:tcBorders>
            <w:vAlign w:val="center"/>
          </w:tcPr>
          <w:p>
            <w:pPr>
              <w:jc w:val="cente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《规范》要求</w:t>
            </w:r>
          </w:p>
        </w:tc>
        <w:tc>
          <w:tcPr>
            <w:tcW w:w="2835" w:type="dxa"/>
            <w:tcBorders>
              <w:bottom w:val="single" w:color="auto" w:sz="4" w:space="0"/>
            </w:tcBorders>
            <w:vAlign w:val="top"/>
          </w:tcPr>
          <w:p>
            <w:pPr>
              <w:jc w:val="cente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《规范》具体内容</w:t>
            </w:r>
          </w:p>
        </w:tc>
        <w:tc>
          <w:tcPr>
            <w:tcW w:w="1417" w:type="dxa"/>
            <w:tcBorders>
              <w:bottom w:val="single" w:color="auto" w:sz="4" w:space="0"/>
            </w:tcBorders>
            <w:vAlign w:val="top"/>
          </w:tcPr>
          <w:p>
            <w:pPr>
              <w:jc w:val="cente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对应手册章节号页码</w:t>
            </w:r>
          </w:p>
        </w:tc>
        <w:tc>
          <w:tcPr>
            <w:tcW w:w="1418" w:type="dxa"/>
            <w:tcBorders>
              <w:bottom w:val="single" w:color="auto" w:sz="4" w:space="0"/>
            </w:tcBorders>
            <w:vAlign w:val="top"/>
          </w:tcPr>
          <w:p>
            <w:pPr>
              <w:jc w:val="cente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程序制度文件名称</w:t>
            </w:r>
          </w:p>
        </w:tc>
        <w:tc>
          <w:tcPr>
            <w:tcW w:w="1842" w:type="dxa"/>
            <w:tcBorders>
              <w:bottom w:val="single" w:color="auto" w:sz="4" w:space="0"/>
            </w:tcBorders>
            <w:vAlign w:val="top"/>
          </w:tcPr>
          <w:p>
            <w:pPr>
              <w:jc w:val="cente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文件章节号及</w:t>
            </w:r>
            <w:r>
              <w:rPr>
                <w:rFonts w:ascii="微软雅黑" w:hAnsi="微软雅黑" w:eastAsia="微软雅黑" w:cs="Times New Roman"/>
                <w:color w:val="auto"/>
                <w:sz w:val="18"/>
                <w:szCs w:val="18"/>
                <w:highlight w:val="none"/>
              </w:rPr>
              <w:t>页码</w:t>
            </w:r>
          </w:p>
        </w:tc>
        <w:tc>
          <w:tcPr>
            <w:tcW w:w="1701" w:type="dxa"/>
            <w:tcBorders>
              <w:bottom w:val="single" w:color="auto" w:sz="4" w:space="0"/>
            </w:tcBorders>
            <w:vAlign w:val="top"/>
          </w:tcPr>
          <w:p>
            <w:pPr>
              <w:jc w:val="cente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符合度</w:t>
            </w:r>
          </w:p>
        </w:tc>
        <w:tc>
          <w:tcPr>
            <w:tcW w:w="1418" w:type="dxa"/>
            <w:tcBorders>
              <w:bottom w:val="single" w:color="auto" w:sz="4" w:space="0"/>
            </w:tcBorders>
            <w:vAlign w:val="top"/>
          </w:tcPr>
          <w:p>
            <w:pPr>
              <w:jc w:val="cente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shd w:val="clear" w:color="auto" w:fill="BFBFBF"/>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4. 知识产权管理体系</w:t>
            </w:r>
          </w:p>
        </w:tc>
        <w:tc>
          <w:tcPr>
            <w:tcW w:w="2835" w:type="dxa"/>
            <w:shd w:val="clear" w:color="auto" w:fill="BFBFBF"/>
            <w:vAlign w:val="top"/>
          </w:tcPr>
          <w:p>
            <w:pPr>
              <w:rPr>
                <w:rFonts w:ascii="微软雅黑" w:hAnsi="微软雅黑" w:eastAsia="微软雅黑" w:cs="Times New Roman"/>
                <w:color w:val="auto"/>
                <w:sz w:val="18"/>
                <w:szCs w:val="18"/>
                <w:highlight w:val="none"/>
              </w:rPr>
            </w:pPr>
          </w:p>
        </w:tc>
        <w:tc>
          <w:tcPr>
            <w:tcW w:w="1417" w:type="dxa"/>
            <w:shd w:val="clear" w:color="auto" w:fill="BFBFBF"/>
            <w:vAlign w:val="top"/>
          </w:tcPr>
          <w:p>
            <w:pPr>
              <w:rPr>
                <w:rFonts w:ascii="微软雅黑" w:hAnsi="微软雅黑" w:eastAsia="微软雅黑" w:cs="Times New Roman"/>
                <w:color w:val="auto"/>
                <w:sz w:val="18"/>
                <w:szCs w:val="18"/>
                <w:highlight w:val="none"/>
              </w:rPr>
            </w:pPr>
          </w:p>
        </w:tc>
        <w:tc>
          <w:tcPr>
            <w:tcW w:w="1418" w:type="dxa"/>
            <w:shd w:val="clear" w:color="auto" w:fill="BFBFBF"/>
            <w:vAlign w:val="top"/>
          </w:tcPr>
          <w:p>
            <w:pPr>
              <w:rPr>
                <w:rFonts w:ascii="微软雅黑" w:hAnsi="微软雅黑" w:eastAsia="微软雅黑" w:cs="Times New Roman"/>
                <w:color w:val="auto"/>
                <w:sz w:val="18"/>
                <w:szCs w:val="18"/>
                <w:highlight w:val="none"/>
              </w:rPr>
            </w:pPr>
          </w:p>
        </w:tc>
        <w:tc>
          <w:tcPr>
            <w:tcW w:w="1842" w:type="dxa"/>
            <w:shd w:val="clear" w:color="auto" w:fill="BFBFBF"/>
            <w:vAlign w:val="top"/>
          </w:tcPr>
          <w:p>
            <w:pPr>
              <w:rPr>
                <w:rFonts w:ascii="微软雅黑" w:hAnsi="微软雅黑" w:eastAsia="微软雅黑" w:cs="Times New Roman"/>
                <w:color w:val="auto"/>
                <w:sz w:val="18"/>
                <w:szCs w:val="18"/>
                <w:highlight w:val="none"/>
              </w:rPr>
            </w:pPr>
          </w:p>
        </w:tc>
        <w:tc>
          <w:tcPr>
            <w:tcW w:w="1701" w:type="dxa"/>
            <w:shd w:val="clear" w:color="auto" w:fill="BFBFBF"/>
            <w:vAlign w:val="top"/>
          </w:tcPr>
          <w:p>
            <w:pPr>
              <w:rPr>
                <w:rFonts w:ascii="微软雅黑" w:hAnsi="微软雅黑" w:eastAsia="微软雅黑" w:cs="Times New Roman"/>
                <w:color w:val="auto"/>
                <w:sz w:val="18"/>
                <w:szCs w:val="18"/>
                <w:highlight w:val="none"/>
              </w:rPr>
            </w:pPr>
          </w:p>
        </w:tc>
        <w:tc>
          <w:tcPr>
            <w:tcW w:w="1418" w:type="dxa"/>
            <w:shd w:val="clear" w:color="auto" w:fill="BFBFBF"/>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0" w:hRule="atLeast"/>
        </w:trPr>
        <w:tc>
          <w:tcPr>
            <w:tcW w:w="2127" w:type="dxa"/>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4.1 总体要求</w:t>
            </w:r>
          </w:p>
        </w:tc>
        <w:tc>
          <w:tcPr>
            <w:tcW w:w="2835" w:type="dxa"/>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企业应按本标准的要求建立知识产权管理体系，实施、运行并持续改进，保持其有效性，并形成文件。</w:t>
            </w:r>
          </w:p>
        </w:tc>
        <w:tc>
          <w:tcPr>
            <w:tcW w:w="1417" w:type="dxa"/>
            <w:vAlign w:val="top"/>
          </w:tcPr>
          <w:p>
            <w:pPr>
              <w:rPr>
                <w:rFonts w:hint="eastAsia" w:ascii="微软雅黑" w:hAnsi="微软雅黑" w:eastAsia="微软雅黑" w:cs="Times New Roman"/>
                <w:color w:val="auto"/>
                <w:sz w:val="18"/>
                <w:szCs w:val="18"/>
                <w:highlight w:val="none"/>
                <w:lang w:val="en-US" w:eastAsia="zh-CN"/>
              </w:rPr>
            </w:pPr>
          </w:p>
        </w:tc>
        <w:tc>
          <w:tcPr>
            <w:tcW w:w="1418" w:type="dxa"/>
            <w:vAlign w:val="top"/>
          </w:tcPr>
          <w:p>
            <w:pPr>
              <w:rPr>
                <w:rFonts w:ascii="微软雅黑" w:hAnsi="微软雅黑" w:eastAsia="微软雅黑" w:cs="Times New Roman"/>
                <w:color w:val="auto"/>
                <w:sz w:val="18"/>
                <w:szCs w:val="18"/>
                <w:highlight w:val="none"/>
              </w:rPr>
            </w:pPr>
          </w:p>
        </w:tc>
        <w:tc>
          <w:tcPr>
            <w:tcW w:w="1842" w:type="dxa"/>
            <w:vAlign w:val="top"/>
          </w:tcPr>
          <w:p>
            <w:pPr>
              <w:rPr>
                <w:rFonts w:hint="eastAsia" w:ascii="微软雅黑" w:hAnsi="微软雅黑" w:eastAsia="微软雅黑" w:cs="Times New Roman"/>
                <w:color w:val="auto"/>
                <w:sz w:val="18"/>
                <w:szCs w:val="18"/>
                <w:highlight w:val="none"/>
                <w:lang w:eastAsia="zh-CN"/>
              </w:rPr>
            </w:pPr>
          </w:p>
        </w:tc>
        <w:tc>
          <w:tcPr>
            <w:tcW w:w="1701" w:type="dxa"/>
            <w:vAlign w:val="top"/>
          </w:tcPr>
          <w:p>
            <w:pPr>
              <w:rPr>
                <w:rFonts w:ascii="微软雅黑" w:hAnsi="微软雅黑" w:eastAsia="微软雅黑" w:cs="Times New Roman"/>
                <w:color w:val="auto"/>
                <w:sz w:val="18"/>
                <w:szCs w:val="18"/>
                <w:highlight w:val="none"/>
              </w:rPr>
            </w:pPr>
          </w:p>
        </w:tc>
        <w:tc>
          <w:tcPr>
            <w:tcW w:w="1418" w:type="dxa"/>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shd w:val="clear" w:color="auto" w:fill="BFBFBF"/>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4.2 文件要求</w:t>
            </w:r>
          </w:p>
        </w:tc>
        <w:tc>
          <w:tcPr>
            <w:tcW w:w="2835" w:type="dxa"/>
            <w:shd w:val="clear" w:color="auto" w:fill="BFBFBF"/>
            <w:vAlign w:val="top"/>
          </w:tcPr>
          <w:p>
            <w:pPr>
              <w:rPr>
                <w:rFonts w:ascii="微软雅黑" w:hAnsi="微软雅黑" w:eastAsia="微软雅黑" w:cs="Times New Roman"/>
                <w:color w:val="auto"/>
                <w:sz w:val="18"/>
                <w:szCs w:val="18"/>
                <w:highlight w:val="none"/>
              </w:rPr>
            </w:pPr>
          </w:p>
        </w:tc>
        <w:tc>
          <w:tcPr>
            <w:tcW w:w="1417" w:type="dxa"/>
            <w:shd w:val="clear" w:color="auto" w:fill="BFBFBF"/>
            <w:vAlign w:val="top"/>
          </w:tcPr>
          <w:p>
            <w:pPr>
              <w:rPr>
                <w:rFonts w:ascii="微软雅黑" w:hAnsi="微软雅黑" w:eastAsia="微软雅黑" w:cs="Times New Roman"/>
                <w:color w:val="auto"/>
                <w:sz w:val="18"/>
                <w:szCs w:val="18"/>
                <w:highlight w:val="none"/>
              </w:rPr>
            </w:pPr>
          </w:p>
        </w:tc>
        <w:tc>
          <w:tcPr>
            <w:tcW w:w="1418" w:type="dxa"/>
            <w:shd w:val="clear" w:color="auto" w:fill="BFBFBF"/>
            <w:vAlign w:val="top"/>
          </w:tcPr>
          <w:p>
            <w:pPr>
              <w:rPr>
                <w:rFonts w:ascii="微软雅黑" w:hAnsi="微软雅黑" w:eastAsia="微软雅黑" w:cs="Times New Roman"/>
                <w:color w:val="auto"/>
                <w:sz w:val="18"/>
                <w:szCs w:val="18"/>
                <w:highlight w:val="none"/>
              </w:rPr>
            </w:pPr>
          </w:p>
        </w:tc>
        <w:tc>
          <w:tcPr>
            <w:tcW w:w="1842" w:type="dxa"/>
            <w:shd w:val="clear" w:color="auto" w:fill="BFBFBF"/>
            <w:vAlign w:val="top"/>
          </w:tcPr>
          <w:p>
            <w:pPr>
              <w:rPr>
                <w:rFonts w:ascii="微软雅黑" w:hAnsi="微软雅黑" w:eastAsia="微软雅黑" w:cs="Times New Roman"/>
                <w:color w:val="auto"/>
                <w:sz w:val="18"/>
                <w:szCs w:val="18"/>
                <w:highlight w:val="none"/>
              </w:rPr>
            </w:pPr>
          </w:p>
        </w:tc>
        <w:tc>
          <w:tcPr>
            <w:tcW w:w="1701" w:type="dxa"/>
            <w:shd w:val="clear" w:color="auto" w:fill="BFBFBF"/>
            <w:vAlign w:val="top"/>
          </w:tcPr>
          <w:p>
            <w:pPr>
              <w:rPr>
                <w:rFonts w:ascii="微软雅黑" w:hAnsi="微软雅黑" w:eastAsia="微软雅黑" w:cs="Times New Roman"/>
                <w:color w:val="auto"/>
                <w:sz w:val="18"/>
                <w:szCs w:val="18"/>
                <w:highlight w:val="none"/>
              </w:rPr>
            </w:pPr>
          </w:p>
        </w:tc>
        <w:tc>
          <w:tcPr>
            <w:tcW w:w="1418" w:type="dxa"/>
            <w:shd w:val="clear" w:color="auto" w:fill="BFBFBF"/>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4.2.1 总则</w:t>
            </w:r>
          </w:p>
        </w:tc>
        <w:tc>
          <w:tcPr>
            <w:tcW w:w="2835" w:type="dxa"/>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a)知识产权方针和目标；</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b)知识产权手册；</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c)本标准要求形成文件的程序和记录。</w:t>
            </w:r>
          </w:p>
        </w:tc>
        <w:tc>
          <w:tcPr>
            <w:tcW w:w="1417" w:type="dxa"/>
            <w:vAlign w:val="top"/>
          </w:tcPr>
          <w:p>
            <w:pPr>
              <w:rPr>
                <w:rFonts w:hint="eastAsia" w:ascii="微软雅黑" w:hAnsi="微软雅黑" w:eastAsia="微软雅黑" w:cs="Times New Roman"/>
                <w:color w:val="auto"/>
                <w:sz w:val="18"/>
                <w:szCs w:val="18"/>
                <w:highlight w:val="none"/>
                <w:lang w:eastAsia="zh-CN"/>
              </w:rPr>
            </w:pPr>
          </w:p>
        </w:tc>
        <w:tc>
          <w:tcPr>
            <w:tcW w:w="1418" w:type="dxa"/>
            <w:vAlign w:val="top"/>
          </w:tcPr>
          <w:p>
            <w:pPr>
              <w:rPr>
                <w:rFonts w:ascii="微软雅黑" w:hAnsi="微软雅黑" w:eastAsia="微软雅黑" w:cs="Times New Roman"/>
                <w:color w:val="auto"/>
                <w:sz w:val="18"/>
                <w:szCs w:val="18"/>
                <w:highlight w:val="none"/>
              </w:rPr>
            </w:pPr>
          </w:p>
        </w:tc>
        <w:tc>
          <w:tcPr>
            <w:tcW w:w="1842" w:type="dxa"/>
            <w:vAlign w:val="top"/>
          </w:tcPr>
          <w:p>
            <w:pPr>
              <w:rPr>
                <w:rFonts w:hint="eastAsia" w:ascii="微软雅黑" w:hAnsi="微软雅黑" w:eastAsia="微软雅黑" w:cs="Times New Roman"/>
                <w:color w:val="auto"/>
                <w:sz w:val="18"/>
                <w:szCs w:val="18"/>
                <w:highlight w:val="none"/>
                <w:lang w:eastAsia="zh-CN"/>
              </w:rPr>
            </w:pPr>
          </w:p>
        </w:tc>
        <w:tc>
          <w:tcPr>
            <w:tcW w:w="1701" w:type="dxa"/>
            <w:vAlign w:val="top"/>
          </w:tcPr>
          <w:p>
            <w:pPr>
              <w:rPr>
                <w:rFonts w:ascii="微软雅黑" w:hAnsi="微软雅黑" w:eastAsia="微软雅黑" w:cs="Times New Roman"/>
                <w:color w:val="auto"/>
                <w:sz w:val="18"/>
                <w:szCs w:val="18"/>
                <w:highlight w:val="none"/>
              </w:rPr>
            </w:pPr>
          </w:p>
        </w:tc>
        <w:tc>
          <w:tcPr>
            <w:tcW w:w="1418" w:type="dxa"/>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4.2.2 文件控制</w:t>
            </w:r>
          </w:p>
        </w:tc>
        <w:tc>
          <w:tcPr>
            <w:tcW w:w="2835" w:type="dxa"/>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a)发布前经过审核和批准，修订后再发布前重新审核和批准；</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b)文件中的相关要求明确；</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c)按文件类别、秘密级别进行管理；</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d)易于识别、取用和阅读；</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e)对因特定目的需要保留的失效文件予以标记。</w:t>
            </w:r>
          </w:p>
        </w:tc>
        <w:tc>
          <w:tcPr>
            <w:tcW w:w="1417" w:type="dxa"/>
            <w:vAlign w:val="top"/>
          </w:tcPr>
          <w:p>
            <w:pPr>
              <w:rPr>
                <w:rFonts w:hint="eastAsia" w:ascii="微软雅黑" w:hAnsi="微软雅黑" w:eastAsia="微软雅黑" w:cs="Times New Roman"/>
                <w:color w:val="auto"/>
                <w:sz w:val="18"/>
                <w:szCs w:val="18"/>
                <w:highlight w:val="none"/>
                <w:lang w:eastAsia="zh-CN"/>
              </w:rPr>
            </w:pPr>
          </w:p>
        </w:tc>
        <w:tc>
          <w:tcPr>
            <w:tcW w:w="1418" w:type="dxa"/>
            <w:vAlign w:val="top"/>
          </w:tcPr>
          <w:p>
            <w:pPr>
              <w:rPr>
                <w:rFonts w:ascii="微软雅黑" w:hAnsi="微软雅黑" w:eastAsia="微软雅黑" w:cs="Times New Roman"/>
                <w:color w:val="auto"/>
                <w:sz w:val="18"/>
                <w:szCs w:val="18"/>
                <w:highlight w:val="none"/>
              </w:rPr>
            </w:pPr>
          </w:p>
        </w:tc>
        <w:tc>
          <w:tcPr>
            <w:tcW w:w="1842" w:type="dxa"/>
            <w:vAlign w:val="top"/>
          </w:tcPr>
          <w:p>
            <w:pPr>
              <w:rPr>
                <w:rFonts w:ascii="微软雅黑" w:hAnsi="微软雅黑" w:eastAsia="微软雅黑" w:cs="Times New Roman"/>
                <w:color w:val="auto"/>
                <w:sz w:val="18"/>
                <w:szCs w:val="18"/>
                <w:highlight w:val="none"/>
              </w:rPr>
            </w:pPr>
          </w:p>
        </w:tc>
        <w:tc>
          <w:tcPr>
            <w:tcW w:w="1701" w:type="dxa"/>
            <w:vAlign w:val="top"/>
          </w:tcPr>
          <w:p>
            <w:pPr>
              <w:rPr>
                <w:rFonts w:ascii="微软雅黑" w:hAnsi="微软雅黑" w:eastAsia="微软雅黑" w:cs="Times New Roman"/>
                <w:color w:val="auto"/>
                <w:sz w:val="18"/>
                <w:szCs w:val="18"/>
                <w:highlight w:val="none"/>
              </w:rPr>
            </w:pPr>
          </w:p>
        </w:tc>
        <w:tc>
          <w:tcPr>
            <w:tcW w:w="1418" w:type="dxa"/>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4.2.3 知识产权手册</w:t>
            </w:r>
          </w:p>
        </w:tc>
        <w:tc>
          <w:tcPr>
            <w:tcW w:w="2835" w:type="dxa"/>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a)知识产权机构设置、职责和权限的相关文件；</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b)知识产权管理体系的程序文件或对程序文件的引用；</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c)知识产权管理体系过程之间相互关系的表述。</w:t>
            </w:r>
          </w:p>
        </w:tc>
        <w:tc>
          <w:tcPr>
            <w:tcW w:w="1417" w:type="dxa"/>
            <w:vAlign w:val="top"/>
          </w:tcPr>
          <w:p>
            <w:pPr>
              <w:rPr>
                <w:rFonts w:hint="eastAsia" w:ascii="微软雅黑" w:hAnsi="微软雅黑" w:eastAsia="微软雅黑" w:cs="Times New Roman"/>
                <w:color w:val="auto"/>
                <w:sz w:val="18"/>
                <w:szCs w:val="18"/>
                <w:highlight w:val="none"/>
                <w:lang w:eastAsia="zh-CN"/>
              </w:rPr>
            </w:pPr>
          </w:p>
        </w:tc>
        <w:tc>
          <w:tcPr>
            <w:tcW w:w="1418" w:type="dxa"/>
            <w:vAlign w:val="top"/>
          </w:tcPr>
          <w:p>
            <w:pPr>
              <w:rPr>
                <w:rFonts w:hint="eastAsia" w:ascii="微软雅黑" w:hAnsi="微软雅黑" w:eastAsia="微软雅黑" w:cs="Times New Roman"/>
                <w:color w:val="auto"/>
                <w:sz w:val="18"/>
                <w:szCs w:val="18"/>
                <w:highlight w:val="none"/>
                <w:lang w:eastAsia="zh-CN"/>
              </w:rPr>
            </w:pPr>
          </w:p>
        </w:tc>
        <w:tc>
          <w:tcPr>
            <w:tcW w:w="1842" w:type="dxa"/>
            <w:vAlign w:val="top"/>
          </w:tcPr>
          <w:p>
            <w:pPr>
              <w:rPr>
                <w:rFonts w:ascii="微软雅黑" w:hAnsi="微软雅黑" w:eastAsia="微软雅黑" w:cs="Times New Roman"/>
                <w:color w:val="auto"/>
                <w:sz w:val="18"/>
                <w:szCs w:val="18"/>
                <w:highlight w:val="none"/>
              </w:rPr>
            </w:pPr>
          </w:p>
        </w:tc>
        <w:tc>
          <w:tcPr>
            <w:tcW w:w="1701" w:type="dxa"/>
            <w:vAlign w:val="top"/>
          </w:tcPr>
          <w:p>
            <w:pPr>
              <w:rPr>
                <w:rFonts w:ascii="微软雅黑" w:hAnsi="微软雅黑" w:eastAsia="微软雅黑" w:cs="Times New Roman"/>
                <w:color w:val="auto"/>
                <w:sz w:val="18"/>
                <w:szCs w:val="18"/>
                <w:highlight w:val="none"/>
              </w:rPr>
            </w:pPr>
          </w:p>
        </w:tc>
        <w:tc>
          <w:tcPr>
            <w:tcW w:w="1418" w:type="dxa"/>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bottom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4.2.4 外来文件及记录文件</w:t>
            </w:r>
          </w:p>
        </w:tc>
        <w:tc>
          <w:tcPr>
            <w:tcW w:w="2835" w:type="dxa"/>
            <w:tcBorders>
              <w:bottom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a)对行政决定、司法判决、律师函件等外来文件进行有效管理，确保其来源与取得时间可识别；</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b)建立、保持和维护记录文件，以证实知识产权管理体系符合本标准要求，并有效运行；</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c)外来文件与记录文件完整，明确保管方式和保管期限。</w:t>
            </w:r>
          </w:p>
        </w:tc>
        <w:tc>
          <w:tcPr>
            <w:tcW w:w="1417" w:type="dxa"/>
            <w:tcBorders>
              <w:bottom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418" w:type="dxa"/>
            <w:tcBorders>
              <w:bottom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bottom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bottom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bottom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shd w:val="clear" w:color="auto" w:fill="BFBFBF"/>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 管理职责</w:t>
            </w:r>
          </w:p>
        </w:tc>
        <w:tc>
          <w:tcPr>
            <w:tcW w:w="2835" w:type="dxa"/>
            <w:shd w:val="clear" w:color="auto" w:fill="BFBFBF"/>
            <w:vAlign w:val="top"/>
          </w:tcPr>
          <w:p>
            <w:pPr>
              <w:rPr>
                <w:rFonts w:ascii="微软雅黑" w:hAnsi="微软雅黑" w:eastAsia="微软雅黑" w:cs="Times New Roman"/>
                <w:color w:val="auto"/>
                <w:sz w:val="18"/>
                <w:szCs w:val="18"/>
                <w:highlight w:val="none"/>
              </w:rPr>
            </w:pPr>
          </w:p>
        </w:tc>
        <w:tc>
          <w:tcPr>
            <w:tcW w:w="1417" w:type="dxa"/>
            <w:shd w:val="clear" w:color="auto" w:fill="BFBFBF"/>
            <w:vAlign w:val="top"/>
          </w:tcPr>
          <w:p>
            <w:pPr>
              <w:rPr>
                <w:rFonts w:ascii="微软雅黑" w:hAnsi="微软雅黑" w:eastAsia="微软雅黑" w:cs="Times New Roman"/>
                <w:color w:val="auto"/>
                <w:sz w:val="18"/>
                <w:szCs w:val="18"/>
                <w:highlight w:val="none"/>
              </w:rPr>
            </w:pPr>
          </w:p>
        </w:tc>
        <w:tc>
          <w:tcPr>
            <w:tcW w:w="1418" w:type="dxa"/>
            <w:shd w:val="clear" w:color="auto" w:fill="BFBFBF"/>
            <w:vAlign w:val="top"/>
          </w:tcPr>
          <w:p>
            <w:pPr>
              <w:rPr>
                <w:rFonts w:ascii="微软雅黑" w:hAnsi="微软雅黑" w:eastAsia="微软雅黑" w:cs="Times New Roman"/>
                <w:color w:val="auto"/>
                <w:sz w:val="18"/>
                <w:szCs w:val="18"/>
                <w:highlight w:val="none"/>
              </w:rPr>
            </w:pPr>
          </w:p>
        </w:tc>
        <w:tc>
          <w:tcPr>
            <w:tcW w:w="1842" w:type="dxa"/>
            <w:shd w:val="clear" w:color="auto" w:fill="BFBFBF"/>
            <w:vAlign w:val="top"/>
          </w:tcPr>
          <w:p>
            <w:pPr>
              <w:rPr>
                <w:rFonts w:ascii="微软雅黑" w:hAnsi="微软雅黑" w:eastAsia="微软雅黑" w:cs="Times New Roman"/>
                <w:color w:val="auto"/>
                <w:sz w:val="18"/>
                <w:szCs w:val="18"/>
                <w:highlight w:val="none"/>
              </w:rPr>
            </w:pPr>
          </w:p>
        </w:tc>
        <w:tc>
          <w:tcPr>
            <w:tcW w:w="1701" w:type="dxa"/>
            <w:shd w:val="clear" w:color="auto" w:fill="BFBFBF"/>
            <w:vAlign w:val="top"/>
          </w:tcPr>
          <w:p>
            <w:pPr>
              <w:rPr>
                <w:rFonts w:ascii="微软雅黑" w:hAnsi="微软雅黑" w:eastAsia="微软雅黑" w:cs="Times New Roman"/>
                <w:color w:val="auto"/>
                <w:sz w:val="18"/>
                <w:szCs w:val="18"/>
                <w:highlight w:val="none"/>
              </w:rPr>
            </w:pPr>
          </w:p>
        </w:tc>
        <w:tc>
          <w:tcPr>
            <w:tcW w:w="1418" w:type="dxa"/>
            <w:shd w:val="clear" w:color="auto" w:fill="BFBFBF"/>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5.1 管理承诺</w:t>
            </w:r>
          </w:p>
        </w:tc>
        <w:tc>
          <w:tcPr>
            <w:tcW w:w="2835" w:type="dxa"/>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a)制定知识产权方针；</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b)制定知识产权目标；</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 xml:space="preserve">c)明确知识产权管理职责和权限，确保有效沟通； </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d)确保资源的配备；</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e)组织管理评审。</w:t>
            </w:r>
          </w:p>
        </w:tc>
        <w:tc>
          <w:tcPr>
            <w:tcW w:w="1417" w:type="dxa"/>
            <w:vAlign w:val="top"/>
          </w:tcPr>
          <w:p>
            <w:pPr>
              <w:rPr>
                <w:rFonts w:ascii="微软雅黑" w:hAnsi="微软雅黑" w:eastAsia="微软雅黑" w:cs="Times New Roman"/>
                <w:color w:val="auto"/>
                <w:sz w:val="18"/>
                <w:szCs w:val="18"/>
                <w:highlight w:val="none"/>
              </w:rPr>
            </w:pPr>
          </w:p>
        </w:tc>
        <w:tc>
          <w:tcPr>
            <w:tcW w:w="1418" w:type="dxa"/>
            <w:vAlign w:val="top"/>
          </w:tcPr>
          <w:p>
            <w:pPr>
              <w:rPr>
                <w:rFonts w:ascii="微软雅黑" w:hAnsi="微软雅黑" w:eastAsia="微软雅黑" w:cs="Times New Roman"/>
                <w:color w:val="auto"/>
                <w:sz w:val="18"/>
                <w:szCs w:val="18"/>
                <w:highlight w:val="none"/>
              </w:rPr>
            </w:pPr>
          </w:p>
        </w:tc>
        <w:tc>
          <w:tcPr>
            <w:tcW w:w="1842" w:type="dxa"/>
            <w:vAlign w:val="top"/>
          </w:tcPr>
          <w:p>
            <w:pPr>
              <w:rPr>
                <w:rFonts w:ascii="微软雅黑" w:hAnsi="微软雅黑" w:eastAsia="微软雅黑" w:cs="Times New Roman"/>
                <w:color w:val="auto"/>
                <w:sz w:val="18"/>
                <w:szCs w:val="18"/>
                <w:highlight w:val="none"/>
              </w:rPr>
            </w:pPr>
          </w:p>
        </w:tc>
        <w:tc>
          <w:tcPr>
            <w:tcW w:w="1701" w:type="dxa"/>
            <w:vAlign w:val="top"/>
          </w:tcPr>
          <w:p>
            <w:pPr>
              <w:rPr>
                <w:rFonts w:ascii="微软雅黑" w:hAnsi="微软雅黑" w:eastAsia="微软雅黑" w:cs="Times New Roman"/>
                <w:color w:val="auto"/>
                <w:sz w:val="18"/>
                <w:szCs w:val="18"/>
                <w:highlight w:val="none"/>
              </w:rPr>
            </w:pPr>
          </w:p>
        </w:tc>
        <w:tc>
          <w:tcPr>
            <w:tcW w:w="1418" w:type="dxa"/>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bottom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5.2 知识产权方针</w:t>
            </w:r>
          </w:p>
        </w:tc>
        <w:tc>
          <w:tcPr>
            <w:tcW w:w="2835" w:type="dxa"/>
            <w:tcBorders>
              <w:bottom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a)符合相关法律和政策的要求；</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b)与企业的经营发展相适应；</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c)在企业内部得到有效运行；</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d)在持续适宜性方面得到评审；</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 xml:space="preserve">e)形成文件，付诸实施，并予以保持； </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f)得到全体员工的理解。</w:t>
            </w:r>
          </w:p>
        </w:tc>
        <w:tc>
          <w:tcPr>
            <w:tcW w:w="1417" w:type="dxa"/>
            <w:tcBorders>
              <w:bottom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bottom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bottom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bottom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bottom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shd w:val="clear" w:color="auto" w:fill="BFBFBF"/>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5.3 策划</w:t>
            </w:r>
          </w:p>
        </w:tc>
        <w:tc>
          <w:tcPr>
            <w:tcW w:w="2835" w:type="dxa"/>
            <w:shd w:val="clear" w:color="auto" w:fill="BFBFBF"/>
            <w:vAlign w:val="top"/>
          </w:tcPr>
          <w:p>
            <w:pPr>
              <w:rPr>
                <w:rFonts w:ascii="微软雅黑" w:hAnsi="微软雅黑" w:eastAsia="微软雅黑" w:cs="Times New Roman"/>
                <w:color w:val="auto"/>
                <w:sz w:val="18"/>
                <w:szCs w:val="18"/>
                <w:highlight w:val="none"/>
              </w:rPr>
            </w:pPr>
          </w:p>
        </w:tc>
        <w:tc>
          <w:tcPr>
            <w:tcW w:w="1417" w:type="dxa"/>
            <w:shd w:val="clear" w:color="auto" w:fill="BFBFBF"/>
            <w:vAlign w:val="top"/>
          </w:tcPr>
          <w:p>
            <w:pPr>
              <w:rPr>
                <w:rFonts w:ascii="微软雅黑" w:hAnsi="微软雅黑" w:eastAsia="微软雅黑" w:cs="Times New Roman"/>
                <w:color w:val="auto"/>
                <w:sz w:val="18"/>
                <w:szCs w:val="18"/>
                <w:highlight w:val="none"/>
              </w:rPr>
            </w:pPr>
          </w:p>
        </w:tc>
        <w:tc>
          <w:tcPr>
            <w:tcW w:w="1418" w:type="dxa"/>
            <w:shd w:val="clear" w:color="auto" w:fill="BFBFBF"/>
            <w:vAlign w:val="top"/>
          </w:tcPr>
          <w:p>
            <w:pPr>
              <w:rPr>
                <w:rFonts w:ascii="微软雅黑" w:hAnsi="微软雅黑" w:eastAsia="微软雅黑" w:cs="Times New Roman"/>
                <w:color w:val="auto"/>
                <w:sz w:val="18"/>
                <w:szCs w:val="18"/>
                <w:highlight w:val="none"/>
              </w:rPr>
            </w:pPr>
          </w:p>
        </w:tc>
        <w:tc>
          <w:tcPr>
            <w:tcW w:w="1842" w:type="dxa"/>
            <w:shd w:val="clear" w:color="auto" w:fill="BFBFBF"/>
            <w:vAlign w:val="top"/>
          </w:tcPr>
          <w:p>
            <w:pPr>
              <w:rPr>
                <w:rFonts w:ascii="微软雅黑" w:hAnsi="微软雅黑" w:eastAsia="微软雅黑" w:cs="Times New Roman"/>
                <w:color w:val="auto"/>
                <w:sz w:val="18"/>
                <w:szCs w:val="18"/>
                <w:highlight w:val="none"/>
              </w:rPr>
            </w:pPr>
          </w:p>
        </w:tc>
        <w:tc>
          <w:tcPr>
            <w:tcW w:w="1701" w:type="dxa"/>
            <w:shd w:val="clear" w:color="auto" w:fill="BFBFBF"/>
            <w:vAlign w:val="top"/>
          </w:tcPr>
          <w:p>
            <w:pPr>
              <w:rPr>
                <w:rFonts w:ascii="微软雅黑" w:hAnsi="微软雅黑" w:eastAsia="微软雅黑" w:cs="Times New Roman"/>
                <w:color w:val="auto"/>
                <w:sz w:val="18"/>
                <w:szCs w:val="18"/>
                <w:highlight w:val="none"/>
              </w:rPr>
            </w:pPr>
          </w:p>
        </w:tc>
        <w:tc>
          <w:tcPr>
            <w:tcW w:w="1418" w:type="dxa"/>
            <w:shd w:val="clear" w:color="auto" w:fill="BFBFBF"/>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5.3.1 知识产权管理体系策划</w:t>
            </w:r>
          </w:p>
        </w:tc>
        <w:tc>
          <w:tcPr>
            <w:tcW w:w="2835" w:type="dxa"/>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a)理解相关方的需求，对知识产权管理体系进行策划，满足知识产权方针的要求；</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b)知识产权获取、维护、运用和保护活动得到有效运行和控制；</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c)知识产权管理体系得到持续改进。</w:t>
            </w:r>
          </w:p>
        </w:tc>
        <w:tc>
          <w:tcPr>
            <w:tcW w:w="1417" w:type="dxa"/>
            <w:vAlign w:val="top"/>
          </w:tcPr>
          <w:p>
            <w:pPr>
              <w:rPr>
                <w:rFonts w:ascii="微软雅黑" w:hAnsi="微软雅黑" w:eastAsia="微软雅黑" w:cs="Times New Roman"/>
                <w:color w:val="auto"/>
                <w:sz w:val="18"/>
                <w:szCs w:val="18"/>
                <w:highlight w:val="none"/>
              </w:rPr>
            </w:pPr>
          </w:p>
        </w:tc>
        <w:tc>
          <w:tcPr>
            <w:tcW w:w="1418" w:type="dxa"/>
            <w:vAlign w:val="top"/>
          </w:tcPr>
          <w:p>
            <w:pPr>
              <w:rPr>
                <w:rFonts w:ascii="微软雅黑" w:hAnsi="微软雅黑" w:eastAsia="微软雅黑" w:cs="Times New Roman"/>
                <w:color w:val="auto"/>
                <w:sz w:val="18"/>
                <w:szCs w:val="18"/>
                <w:highlight w:val="none"/>
              </w:rPr>
            </w:pPr>
          </w:p>
        </w:tc>
        <w:tc>
          <w:tcPr>
            <w:tcW w:w="1842" w:type="dxa"/>
            <w:vAlign w:val="top"/>
          </w:tcPr>
          <w:p>
            <w:pPr>
              <w:rPr>
                <w:rFonts w:ascii="微软雅黑" w:hAnsi="微软雅黑" w:eastAsia="微软雅黑" w:cs="Times New Roman"/>
                <w:color w:val="auto"/>
                <w:sz w:val="18"/>
                <w:szCs w:val="18"/>
                <w:highlight w:val="none"/>
              </w:rPr>
            </w:pPr>
          </w:p>
        </w:tc>
        <w:tc>
          <w:tcPr>
            <w:tcW w:w="1701" w:type="dxa"/>
            <w:vAlign w:val="top"/>
          </w:tcPr>
          <w:p>
            <w:pPr>
              <w:rPr>
                <w:rFonts w:ascii="微软雅黑" w:hAnsi="微软雅黑" w:eastAsia="微软雅黑" w:cs="Times New Roman"/>
                <w:color w:val="auto"/>
                <w:sz w:val="18"/>
                <w:szCs w:val="18"/>
                <w:highlight w:val="none"/>
              </w:rPr>
            </w:pPr>
          </w:p>
        </w:tc>
        <w:tc>
          <w:tcPr>
            <w:tcW w:w="1418" w:type="dxa"/>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5.3.2 知识产权目标</w:t>
            </w:r>
          </w:p>
        </w:tc>
        <w:tc>
          <w:tcPr>
            <w:tcW w:w="2835" w:type="dxa"/>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a)形成文件并且可考核；</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b)与知识产权方针保持一致，内容包括对持续改进的承诺。</w:t>
            </w:r>
          </w:p>
        </w:tc>
        <w:tc>
          <w:tcPr>
            <w:tcW w:w="1417" w:type="dxa"/>
            <w:vAlign w:val="top"/>
          </w:tcPr>
          <w:p>
            <w:pPr>
              <w:rPr>
                <w:rFonts w:ascii="微软雅黑" w:hAnsi="微软雅黑" w:eastAsia="微软雅黑" w:cs="Times New Roman"/>
                <w:color w:val="auto"/>
                <w:sz w:val="18"/>
                <w:szCs w:val="18"/>
                <w:highlight w:val="none"/>
              </w:rPr>
            </w:pPr>
          </w:p>
        </w:tc>
        <w:tc>
          <w:tcPr>
            <w:tcW w:w="1418" w:type="dxa"/>
            <w:vAlign w:val="top"/>
          </w:tcPr>
          <w:p>
            <w:pPr>
              <w:rPr>
                <w:rFonts w:ascii="微软雅黑" w:hAnsi="微软雅黑" w:eastAsia="微软雅黑" w:cs="Times New Roman"/>
                <w:color w:val="auto"/>
                <w:sz w:val="18"/>
                <w:szCs w:val="18"/>
                <w:highlight w:val="none"/>
              </w:rPr>
            </w:pPr>
          </w:p>
        </w:tc>
        <w:tc>
          <w:tcPr>
            <w:tcW w:w="1842" w:type="dxa"/>
            <w:vAlign w:val="top"/>
          </w:tcPr>
          <w:p>
            <w:pPr>
              <w:rPr>
                <w:rFonts w:ascii="微软雅黑" w:hAnsi="微软雅黑" w:eastAsia="微软雅黑" w:cs="Times New Roman"/>
                <w:color w:val="auto"/>
                <w:sz w:val="18"/>
                <w:szCs w:val="18"/>
                <w:highlight w:val="none"/>
              </w:rPr>
            </w:pPr>
          </w:p>
        </w:tc>
        <w:tc>
          <w:tcPr>
            <w:tcW w:w="1701" w:type="dxa"/>
            <w:vAlign w:val="top"/>
          </w:tcPr>
          <w:p>
            <w:pPr>
              <w:rPr>
                <w:rFonts w:ascii="微软雅黑" w:hAnsi="微软雅黑" w:eastAsia="微软雅黑" w:cs="Times New Roman"/>
                <w:color w:val="auto"/>
                <w:sz w:val="18"/>
                <w:szCs w:val="18"/>
                <w:highlight w:val="none"/>
              </w:rPr>
            </w:pPr>
          </w:p>
        </w:tc>
        <w:tc>
          <w:tcPr>
            <w:tcW w:w="1418" w:type="dxa"/>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5.3.3 法律法规和其他要求</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a)识别和获取适用的法律和其他要求，并建立获取渠道；</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b)及时更新有关法律和其他要求的信息，并传达给员工。</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5.4 职责、权限和沟通</w:t>
            </w:r>
          </w:p>
        </w:tc>
        <w:tc>
          <w:tcPr>
            <w:tcW w:w="2835"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5.4.1 管理者代表</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a)确保知识产权管理体系的建立、实施和保持；</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b)向最高管理者报告知识产权管理绩效和改进需求；</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c)确保全体员工对知识产权方针和目标的理解；</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d)落实知识产权管理体系运行和改进需要的各项资源；</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e)确保知识产权外部沟通的有效性。</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5.4.2 机构</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a)制定企业知识产权发展规划；</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b)建立知识产权管理绩效评价体系；</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c)参与监督和考核其他相关管理机构；</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d)负责企业知识产权的日常管理工作。</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其他管理机构负责落实与本机构相关的知识产权工作。</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5.4.3 内部沟通</w:t>
            </w:r>
          </w:p>
        </w:tc>
        <w:tc>
          <w:tcPr>
            <w:tcW w:w="2835" w:type="dxa"/>
            <w:tcBorders>
              <w:top w:val="single" w:color="auto" w:sz="4" w:space="0"/>
              <w:left w:val="single" w:color="auto" w:sz="4" w:space="0"/>
              <w:bottom w:val="single" w:color="auto" w:sz="4" w:space="0"/>
              <w:right w:val="single" w:color="auto" w:sz="4" w:space="0"/>
            </w:tcBorders>
            <w:vAlign w:val="top"/>
          </w:tcPr>
          <w:p>
            <w:pPr>
              <w:rPr>
                <w:color w:val="auto"/>
                <w:highlight w:val="none"/>
              </w:rPr>
            </w:pPr>
            <w:r>
              <w:rPr>
                <w:rFonts w:hint="eastAsia"/>
                <w:color w:val="auto"/>
                <w:highlight w:val="none"/>
              </w:rPr>
              <w:t>建立沟通渠道，确保知识产权管理体系有效运行。</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5.5 管理评审</w:t>
            </w:r>
          </w:p>
        </w:tc>
        <w:tc>
          <w:tcPr>
            <w:tcW w:w="2835"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5.5.1评审要求</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最高管理者应定期评审知识产权管理体系的适宜性和有效性。</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5.5.2评审输入</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a)知识产权方针、目标；</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b)企业经营目标、策略及新产品、新业务规划；</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c)企业知识产权基本情况及风险评估信息；</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d)技术、标准发展趋势；</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e)前期审核结果。</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5.5.3评审输出</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 xml:space="preserve">a)知识产权方针、目标改进建议； </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b)知识产权管理程序改进建议；</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c)资源需求。</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6. 资源管理</w:t>
            </w:r>
          </w:p>
        </w:tc>
        <w:tc>
          <w:tcPr>
            <w:tcW w:w="2835"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6.1 人力资源</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6.1.1 知识产权工作人员</w:t>
            </w:r>
          </w:p>
        </w:tc>
        <w:tc>
          <w:tcPr>
            <w:tcW w:w="2835" w:type="dxa"/>
            <w:tcBorders>
              <w:top w:val="single" w:color="auto" w:sz="4" w:space="0"/>
              <w:left w:val="single" w:color="auto" w:sz="4" w:space="0"/>
              <w:bottom w:val="single" w:color="auto" w:sz="4" w:space="0"/>
              <w:right w:val="single" w:color="auto" w:sz="4" w:space="0"/>
            </w:tcBorders>
            <w:vAlign w:val="top"/>
          </w:tcPr>
          <w:p>
            <w:pPr>
              <w:rPr>
                <w:color w:val="auto"/>
                <w:highlight w:val="none"/>
              </w:rPr>
            </w:pPr>
            <w:r>
              <w:rPr>
                <w:rFonts w:hint="eastAsia" w:ascii="微软雅黑" w:hAnsi="微软雅黑" w:eastAsia="微软雅黑" w:cs="Times New Roman"/>
                <w:color w:val="auto"/>
                <w:sz w:val="18"/>
                <w:szCs w:val="18"/>
                <w:highlight w:val="none"/>
              </w:rPr>
              <w:t>明确知识产权工作人员的任职条件，并采取适当措施，确保从事知识产权工作的人员满足相应的条件。</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6.1.2 教育与培训</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a)规定知识产权工作人员的教育培训要求，制定计划并执行；</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b)组织对全体员工按业务领域和岗位要求进行知识产权培训，并形成记录；</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c)组织对中、高层管理人员进行知识产权培训，并形成记录；</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d)组织对研究开发等与知识产权关系密切的岗位人员进行知识产权培训，并形成记录。</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6.1.3 人事合同</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通过劳动合同、劳务合同等方式对员工进行管理，约定知识产权权属、保密条款；明确发明创造人员享有的权利和负有的义务；必要时应约定竞业限制和补偿条款。</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6.1.4 入职</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对新入职员工进行适当的知识产权背景调查，以避免侵犯他人知识产权；对于研究开发等与知识产权关系密切的岗位，应要求新入职员工签署知识产权声明文件。</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6.1.4 离职</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对离职的员工进行相应的知识产权事项提醒；涉及核心知识产权的员工离职时，应签署离职知识产权协议或执行竞业限制协议。</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6.1.5 激励</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明确员工知识产权创造、保护和运用的奖励和报酬；明确员工造成知识产权损失的责任。</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6.2 基础设施</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a)软硬件设备，如知识产权管理软件、数据库、计算机和网络设施等；</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b)办公场所。</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6.3 财务资源</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a)用于知识产权申请、注册、登记、维持、检索、分析、评估、诉讼和培训等事项；</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b)用于知识产权管理机构运行；</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c)用于知识产权激励；</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d)有条件的企业可设立知识产权风险准备金。</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6.4 信息资源</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a)建立信息收集渠道，及时获取所属领域、竞争对手的知识产权信息；</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b)对信息进行分类筛选和分析加工，并加以有效利用；</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 xml:space="preserve">c)在对外信息发布之前进行相应审批； </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d)有条件的企业可建立知识产权信息数据库，并有效维护和及时更新。</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 基础管理</w:t>
            </w:r>
          </w:p>
        </w:tc>
        <w:tc>
          <w:tcPr>
            <w:tcW w:w="2835"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7.1 获取</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a)根据知识产权目标，制定知识产权获取的工作计划，明确获取的方式和途径；</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b)在获取知识产权前进行必要的检索和分析；</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c)保持知识产权获取记录；</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d)保障发明创造人员的署名权。</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7.2 维护</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a)建立知识产权分类管理档案，进行日常维护；</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b)知识产权评估；</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c)知识产权权属变更；</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d)知识产权权属放弃；</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e)有条件的企业可对知识产权进行分级管理。</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842" w:type="dxa"/>
            <w:tcBorders>
              <w:top w:val="single" w:color="auto" w:sz="4" w:space="0"/>
              <w:left w:val="single" w:color="auto" w:sz="4" w:space="0"/>
              <w:bottom w:val="single" w:color="auto" w:sz="4" w:space="0"/>
              <w:right w:val="single" w:color="auto" w:sz="4" w:space="0"/>
            </w:tcBorders>
            <w:vAlign w:val="top"/>
          </w:tcPr>
          <w:p>
            <w:pPr>
              <w:numPr>
                <w:numId w:val="0"/>
              </w:numPr>
              <w:rPr>
                <w:rFonts w:hint="eastAsia" w:ascii="微软雅黑" w:hAnsi="微软雅黑" w:eastAsia="微软雅黑" w:cs="Times New Roman"/>
                <w:color w:val="auto"/>
                <w:sz w:val="18"/>
                <w:szCs w:val="18"/>
                <w:highlight w:val="none"/>
                <w:lang w:val="en-US" w:eastAsia="zh-CN"/>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7.3 运用</w:t>
            </w:r>
          </w:p>
        </w:tc>
        <w:tc>
          <w:tcPr>
            <w:tcW w:w="2835"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7.3.1 实施、许可和转让</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 xml:space="preserve">a)促进和监控知识产权的实施，有条件的企业可评估知识产权对企业的贡献； </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b)知识产权实施、许可或转让前，应分别制定调查方案，并进行评估。</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7.3.2 投融资</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投融资活动前，应对相关知识产权开展尽职调查，进行风险和价值评估。在境外投资前，应针对目的地的知识产权法律、政策及其执行情况，进行风险分析。</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7.3.3企业重组</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a)企业合并或并购前，应开展知识产权尽职调查，根据合并或并购的目的设定对目标企业知识产权状况的调查内容；有条件的企业可进行知识产权评估。</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b)企业出售或剥离资产前，应对相关知识产权开展调查和评估，分析出售或剥离的知识产权对本企业未来竞争力的影响。</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7.3.4 标准化</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a)参与标准化组织前，了解标准化组织的知识产权政策；将包含专利和专利申请的技术方案向标准化组织提案时，应按照知识产权政策要求披露并作出许可承诺；</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b)牵头制定标准时，应组织制定标准工作组的知识产权政策和工作程序。</w:t>
            </w:r>
          </w:p>
        </w:tc>
        <w:tc>
          <w:tcPr>
            <w:tcW w:w="1417"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7.3.5联盟及相关组织</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a)参与知识产权联盟或其他组织前，应了解其知识产权政策，并进行评估；</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b)组建知识产权联盟时，应遵循公平、合理且无歧视的原则，制定联盟知识产权政策；主要涉及专利合作的联盟可围绕核心技术建立专利池。</w:t>
            </w:r>
          </w:p>
        </w:tc>
        <w:tc>
          <w:tcPr>
            <w:tcW w:w="1417"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7.4 保护</w:t>
            </w:r>
          </w:p>
        </w:tc>
        <w:tc>
          <w:tcPr>
            <w:tcW w:w="2835"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FBFBF"/>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7.4.1 风险管理</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a)采取措施，避免或降低生产、办公设备及软件侵犯他人知识产权的风险；</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b)定期监控产品可能涉及他人知识产权的状况，分析可能发生的纠纷及其对企业的损害程度，提出防范预案；</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c)有条件的企业可将知识产权纳入企业风险管理体系，对知识产权风险进行识别和评测，并采取相应风险控制措施。</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val="en-US" w:eastAsia="zh-CN"/>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7.4.2 争议处理</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a)及时发现和监控知识产权被侵犯的情况，适时运用行政和司法途径保护知识产权；</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b)在处理知识产权纠纷时，评估通过诉讼、仲裁、和解等不同处理方式对企业的影响，选取适宜的争议解决方式。</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7.4.3 涉外贸易</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a)向境外销售产品前，应调查目的地的知识产权法律、政策及其执行情况，了解行业相关诉讼，分析可能涉及的知识产权风险；</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b)向境外销售产品前，应适时在目的地进行知识产权申请、注册和登记；</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c)对向境外销售的涉及知识产权的产品可采取相应的边境保护措施。</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7.5 合同管理</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a)应对合同中有关知识产权条款进行审查，并形成记录；</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b)对检索与分析、预警、申请、诉讼、侵权调查与鉴定、管理咨询等知识产权对外委托业务应签订书面合同，并约定知识产权权属、保密等内容；</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c)在进行委托开发或合作开发时，应签订书面合同，约定知识产权权属、许可及利益分配、后续改进的权属和使用等；</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d)承担涉及国家重大专项等政府支持项目时，应了解项目相关的知识产权管理规定，并按照要求进行管理。</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eastAsia="zh-CN"/>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7.6 保密</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a)明确涉密人员，设定保密等级和接触权限；</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b)明确可能造成知识产权流失的设备，规定使用目的、人员和方式；</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c)明确涉密信息，规定保密等级、期限和传递、保存及销毁的要求；</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d)明确涉密区域，规定客户及参访人员活动范围等。</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val="en-US" w:eastAsia="zh-CN"/>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val="en-US" w:eastAsia="zh-CN"/>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8. 实施和运行</w:t>
            </w:r>
          </w:p>
        </w:tc>
        <w:tc>
          <w:tcPr>
            <w:tcW w:w="2835"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8.1 立项</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a)分析该项目所涉及的知识产权信息，包括各关键技术的专利数量、地域分布和专利权人信息等；</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b)通过知识产权分析及市场调研相结合，明确该产品潜在的合作伙伴和竞争对手；</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c)进行知识产权风险评估，并将评估结果、防范预案作为项目立项与整体预算的依据</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8.2 研究开发</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a)对该领域的知识产权信息、相关文献及其他公开信息进行检索，对项目的技术发展状况、知识产权状况和竞争对手状况等进行分析；</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b)在检索分析的基础上，制定知识产权规划；</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c)跟踪与监控研究开发活动中的知识产权，适时调整研究开发策略和内容，避免或降低知识产权侵权风险；</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d)督促研究人员及时报告研究开发成果；</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e)及时对研究开发成果进行评估和确认，明确保护方式和权益归属，适时形成知识产权；</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f)保留研究开发活动中形成的记录，并实施有效的管理</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7" w:hRule="atLeast"/>
        </w:trPr>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8.3 采购</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a)在采购涉及知识产权的产品过程中，收集相关知识产权信息，以避免采购知识产权侵权产品，必要时应要求供方提供知识产权权属证明；</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b)做好供方信息、进货渠道、进价策略等信息资料的管理和保密工作；</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c)在采购合同中应明确知识产权权属、许可使用范围、侵权责任承担等。</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8.4 生产</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a)及时评估、确认生产过程中涉及产品与工艺方法的技术改进与创新，明确保护方式，适时形成知识产权；</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b)在委托加工、来料加工、贴牌生产等对外协作的过程中，应在生产合同中明确知识产权权属、许可使用范围、侵权责任承担等，必要时应要求供方提供知识产权许可证明；</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c)保留生产活动中形成的记录，并实施有效的管理。</w:t>
            </w:r>
          </w:p>
        </w:tc>
        <w:tc>
          <w:tcPr>
            <w:tcW w:w="1417" w:type="dxa"/>
            <w:tcBorders>
              <w:top w:val="single" w:color="auto" w:sz="4" w:space="0"/>
              <w:left w:val="single" w:color="auto" w:sz="4" w:space="0"/>
              <w:bottom w:val="single" w:color="auto" w:sz="4" w:space="0"/>
              <w:right w:val="single" w:color="auto" w:sz="4" w:space="0"/>
            </w:tcBorders>
            <w:vAlign w:val="top"/>
          </w:tcPr>
          <w:p>
            <w:pPr>
              <w:rPr>
                <w:rFonts w:hint="eastAsia" w:ascii="微软雅黑" w:hAnsi="微软雅黑" w:eastAsia="微软雅黑" w:cs="Times New Roman"/>
                <w:color w:val="auto"/>
                <w:sz w:val="18"/>
                <w:szCs w:val="18"/>
                <w:highlight w:val="none"/>
                <w:lang w:val="en-US" w:eastAsia="zh-CN"/>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8.5 销售和售后</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a)产品销售前，对产品所涉及的知识产权状况进行全面审查和分析，制定知识产权保护和风险规避方案；</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b)在产品宣传、销售、会展等商业活动前制定知识产权保护或风险规避方案；</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c)建立产品销售市场监控程序，采取保护措施，及时跟踪和调查相关知识产权被侵权情况，建立和保持相关记录；</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d)产品升级或市场环境发生变化时，及时进行跟踪调查，调整知识产权策略和风险规避方案，适时形成新的知识产权。</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9. 审核和改进</w:t>
            </w:r>
          </w:p>
        </w:tc>
        <w:tc>
          <w:tcPr>
            <w:tcW w:w="2835"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B3B3B3"/>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9.1 总则</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a)确保产品、软硬件设施设备符合知识产权有关要求；</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b)确保知识产权管理体系的适宜性；</w:t>
            </w: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c)持续改进知识产权管理体系，确保其有效性。</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bookmarkStart w:id="0" w:name="_GoBack"/>
            <w:bookmarkEnd w:id="0"/>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9.2 内部审核</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应编制形成文件的程序，确保定期对知识产权管理体系进行内部审核，满足本标准的要求。</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2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9.3 分析与改进</w:t>
            </w:r>
          </w:p>
        </w:tc>
        <w:tc>
          <w:tcPr>
            <w:tcW w:w="2835"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r>
              <w:rPr>
                <w:rFonts w:hint="eastAsia" w:ascii="微软雅黑" w:hAnsi="微软雅黑" w:eastAsia="微软雅黑" w:cs="Times New Roman"/>
                <w:color w:val="auto"/>
                <w:sz w:val="18"/>
                <w:szCs w:val="18"/>
                <w:highlight w:val="none"/>
              </w:rPr>
              <w:t>根据知识产权方针、目标以及检查、分析的结果，制定和落实改进措施。</w:t>
            </w:r>
          </w:p>
        </w:tc>
        <w:tc>
          <w:tcPr>
            <w:tcW w:w="1417"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842"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rPr>
                <w:rFonts w:ascii="微软雅黑" w:hAnsi="微软雅黑" w:eastAsia="微软雅黑" w:cs="Times New Roman"/>
                <w:color w:val="auto"/>
                <w:sz w:val="18"/>
                <w:szCs w:val="18"/>
                <w:highlight w:val="none"/>
              </w:rPr>
            </w:pPr>
          </w:p>
        </w:tc>
      </w:tr>
    </w:tbl>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华文新魏">
    <w:altName w:val="宋体"/>
    <w:panose1 w:val="02010800040101010101"/>
    <w:charset w:val="86"/>
    <w:family w:val="auto"/>
    <w:pitch w:val="default"/>
    <w:sig w:usb0="00000001" w:usb1="080F0000" w:usb2="00000000" w:usb3="00000000" w:csb0="00040000" w:csb1="00000000"/>
  </w:font>
  <w:font w:name="方正舒体">
    <w:altName w:val="宋体"/>
    <w:panose1 w:val="02010601030101010101"/>
    <w:charset w:val="86"/>
    <w:family w:val="auto"/>
    <w:pitch w:val="default"/>
    <w:sig w:usb0="00000003" w:usb1="080E0000" w:usb2="00000000" w:usb3="00000000" w:csb0="00040000" w:csb1="00000000"/>
  </w:font>
  <w:font w:name="幼圆">
    <w:altName w:val="宋体"/>
    <w:panose1 w:val="0201050906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华文行楷">
    <w:altName w:val="微软雅黑"/>
    <w:panose1 w:val="02010800040101010101"/>
    <w:charset w:val="86"/>
    <w:family w:val="auto"/>
    <w:pitch w:val="default"/>
    <w:sig w:usb0="00000001" w:usb1="080F0000" w:usb2="00000000" w:usb3="00000000" w:csb0="00040000" w:csb1="00000000"/>
  </w:font>
  <w:font w:name="Cambria Math">
    <w:panose1 w:val="02040503050406030204"/>
    <w:charset w:val="01"/>
    <w:family w:val="auto"/>
    <w:pitch w:val="default"/>
    <w:sig w:usb0="E00002FF" w:usb1="42002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paragraph" w:styleId="2">
    <w:name w:val="annotation text"/>
    <w:basedOn w:val="1"/>
    <w:semiHidden/>
    <w:unhideWhenUsed/>
    <w:uiPriority w:val="0"/>
    <w:pPr>
      <w:jc w:val="left"/>
    </w:pPr>
  </w:style>
  <w:style w:type="paragraph" w:styleId="3">
    <w:name w:val="footer"/>
    <w:basedOn w:val="1"/>
    <w:semiHidden/>
    <w:unhideWhenUsed/>
    <w:uiPriority w:val="0"/>
    <w:pPr>
      <w:tabs>
        <w:tab w:val="center" w:pos="4153"/>
        <w:tab w:val="right" w:pos="8306"/>
      </w:tabs>
      <w:snapToGrid w:val="0"/>
      <w:jc w:val="left"/>
    </w:pPr>
    <w:rPr>
      <w:sz w:val="18"/>
      <w:szCs w:val="18"/>
    </w:rPr>
  </w:style>
  <w:style w:type="paragraph" w:styleId="4">
    <w:name w:val="header"/>
    <w:basedOn w:val="1"/>
    <w:semiHidden/>
    <w:unhideWhenUsed/>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浙江省科学技术厅</Company>
  <Pages>13</Pages>
  <Words>776</Words>
  <Characters>4429</Characters>
  <Lines>36</Lines>
  <Paragraphs>10</Paragraphs>
  <ScaleCrop>false</ScaleCrop>
  <LinksUpToDate>false</LinksUpToDate>
  <CharactersWithSpaces>0</CharactersWithSpaces>
  <Application>WPS Office 个人版_9.1.0.4567_{F1E327BC-269C-435d-A152-05C5408002CA}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2014-05-07T01:22:00Z</dcterms:created>
  <dc:creator>wljc</dc:creator>
  <cp:lastModifiedBy>Administrator</cp:lastModifiedBy>
  <dcterms:modified xsi:type="dcterms:W3CDTF">2014-05-29T03:07:33Z</dcterms:modified>
  <dc:title>知识产权管理体系与《企业知识产权管理规范》文件对照说明表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